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566913">
              <w:rPr>
                <w:b/>
                <w:sz w:val="24"/>
              </w:rPr>
              <w:t>1.1</w:t>
            </w:r>
            <w:r w:rsidR="00754331">
              <w:rPr>
                <w:b/>
                <w:sz w:val="24"/>
              </w:rPr>
              <w:t xml:space="preserve"> (</w:t>
            </w:r>
            <w:r w:rsidR="00AE0EBB">
              <w:rPr>
                <w:b/>
                <w:sz w:val="24"/>
              </w:rPr>
              <w:t>5000-5030</w:t>
            </w:r>
            <w:r w:rsidR="00566913">
              <w:rPr>
                <w:b/>
                <w:sz w:val="24"/>
              </w:rPr>
              <w:t xml:space="preserve"> MHz</w:t>
            </w:r>
            <w:r w:rsidR="00754331">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w:t>
            </w:r>
            <w:bookmarkStart w:id="0" w:name="_GoBack"/>
            <w:bookmarkEnd w:id="0"/>
            <w:r w:rsidRPr="00713189">
              <w:rPr>
                <w:b/>
                <w:sz w:val="24"/>
              </w:rPr>
              <w:t>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AE0EBB" w:rsidRPr="009E790B" w:rsidRDefault="00AE0EBB" w:rsidP="00F57263">
      <w:pPr>
        <w:ind w:right="43"/>
        <w:rPr>
          <w:b/>
          <w:bCs/>
          <w:sz w:val="28"/>
        </w:rPr>
      </w:pPr>
    </w:p>
    <w:p w:rsidR="00AE0EBB" w:rsidRDefault="00AE0EBB" w:rsidP="00F57263">
      <w:pPr>
        <w:rPr>
          <w:b/>
          <w:iCs/>
          <w:szCs w:val="22"/>
        </w:rPr>
      </w:pPr>
      <w:r>
        <w:rPr>
          <w:b/>
          <w:bCs/>
          <w:szCs w:val="22"/>
        </w:rPr>
        <w:t>Agenda Item 1.1</w:t>
      </w:r>
      <w:r>
        <w:rPr>
          <w:bCs/>
        </w:rPr>
        <w:t>:</w:t>
      </w:r>
      <w:r>
        <w:rPr>
          <w:i/>
          <w:iCs/>
        </w:rPr>
        <w:t xml:space="preserve">  </w:t>
      </w:r>
      <w:r>
        <w:rPr>
          <w:i/>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b/>
          <w:bCs/>
          <w:i/>
        </w:rPr>
        <w:t>233 (WRC</w:t>
      </w:r>
      <w:r>
        <w:rPr>
          <w:b/>
          <w:bCs/>
          <w:i/>
        </w:rPr>
        <w:noBreakHyphen/>
        <w:t>12)</w:t>
      </w:r>
      <w:r>
        <w:rPr>
          <w:i/>
        </w:rPr>
        <w:t>;</w:t>
      </w:r>
    </w:p>
    <w:p w:rsidR="00AE0EBB" w:rsidRDefault="00AE0EBB" w:rsidP="00F57263">
      <w:pPr>
        <w:rPr>
          <w:szCs w:val="22"/>
        </w:rPr>
      </w:pPr>
    </w:p>
    <w:p w:rsidR="00AE0EBB" w:rsidRDefault="00AE0EBB" w:rsidP="00F57263">
      <w:pPr>
        <w:rPr>
          <w:szCs w:val="22"/>
          <w:lang w:val="en-GB" w:eastAsia="x-none"/>
        </w:rPr>
      </w:pPr>
      <w:r>
        <w:rPr>
          <w:b/>
          <w:szCs w:val="22"/>
        </w:rPr>
        <w:t>Background Information</w:t>
      </w:r>
      <w:r w:rsidRPr="009E790B">
        <w:rPr>
          <w:szCs w:val="22"/>
        </w:rPr>
        <w:t>:  T</w:t>
      </w:r>
      <w:r>
        <w:rPr>
          <w:szCs w:val="22"/>
        </w:rPr>
        <w:t xml:space="preserve">he 2012 World Radiocommunication Conference (WRC-12) recognized a need for additional radio spectrum to support the increasing mobile data traffic, and placed consideration of additional spectrum allocations for terrestrial mobile broadband applications on the Agenda for WRC-15.  </w:t>
      </w:r>
      <w:r>
        <w:rPr>
          <w:szCs w:val="22"/>
          <w:lang w:val="en-GB" w:eastAsia="x-none"/>
        </w:rPr>
        <w:t>Joint Task Group (JTG) 4-5-6-7 considered spectrum requirements for IMT/terrestrial mobile broadband applications and developed sharing and compatibility studies, taking into account protection requirements of other services from concerned ITU-R Working Parties.</w:t>
      </w:r>
    </w:p>
    <w:p w:rsidR="00AE0EBB" w:rsidRDefault="00AE0EBB" w:rsidP="00F57263">
      <w:pPr>
        <w:rPr>
          <w:szCs w:val="22"/>
        </w:rPr>
      </w:pPr>
    </w:p>
    <w:p w:rsidR="00AE0EBB" w:rsidRDefault="00AE0EBB" w:rsidP="00F57263">
      <w:pPr>
        <w:rPr>
          <w:szCs w:val="22"/>
        </w:rPr>
      </w:pPr>
      <w:r>
        <w:rPr>
          <w:szCs w:val="22"/>
        </w:rPr>
        <w:t>The radionavigation-satellite service (RNSS) has allocations for Earth-to-space operations in the 5 000-5 010 MHz band and space-to-Earth and space-to-space operations in the 5</w:t>
      </w:r>
      <w:r>
        <w:rPr>
          <w:b/>
          <w:szCs w:val="22"/>
        </w:rPr>
        <w:t> </w:t>
      </w:r>
      <w:r>
        <w:rPr>
          <w:szCs w:val="22"/>
        </w:rPr>
        <w:t>010-5</w:t>
      </w:r>
      <w:r>
        <w:rPr>
          <w:b/>
          <w:szCs w:val="22"/>
        </w:rPr>
        <w:t> </w:t>
      </w:r>
      <w:r>
        <w:rPr>
          <w:szCs w:val="22"/>
        </w:rPr>
        <w:t>030 MHz band.  Operators plan to operate several global and regional non-geostationary satellite RNSS systems, including GPS, QZSS, and Galileo, within these bands.  RNSS shares its allocations 5</w:t>
      </w:r>
      <w:r>
        <w:rPr>
          <w:b/>
          <w:szCs w:val="22"/>
        </w:rPr>
        <w:t> </w:t>
      </w:r>
      <w:r>
        <w:rPr>
          <w:szCs w:val="22"/>
        </w:rPr>
        <w:t>000-5</w:t>
      </w:r>
      <w:r>
        <w:rPr>
          <w:b/>
          <w:szCs w:val="22"/>
        </w:rPr>
        <w:t> </w:t>
      </w:r>
      <w:r>
        <w:rPr>
          <w:szCs w:val="22"/>
        </w:rPr>
        <w:t>010 MHz and 5</w:t>
      </w:r>
      <w:r>
        <w:rPr>
          <w:b/>
          <w:szCs w:val="22"/>
        </w:rPr>
        <w:t> </w:t>
      </w:r>
      <w:r>
        <w:rPr>
          <w:szCs w:val="22"/>
        </w:rPr>
        <w:t>010-5</w:t>
      </w:r>
      <w:r>
        <w:rPr>
          <w:b/>
          <w:szCs w:val="22"/>
        </w:rPr>
        <w:t> </w:t>
      </w:r>
      <w:r>
        <w:rPr>
          <w:szCs w:val="22"/>
        </w:rPr>
        <w:t>030 MHz with the aeronautical radionavigation service (ARNS), which is a safety service.</w:t>
      </w:r>
    </w:p>
    <w:p w:rsidR="00AE0EBB" w:rsidRDefault="00AE0EBB" w:rsidP="00F57263">
      <w:pPr>
        <w:rPr>
          <w:szCs w:val="22"/>
        </w:rPr>
      </w:pPr>
    </w:p>
    <w:p w:rsidR="00AE0EBB" w:rsidRDefault="00AE0EBB" w:rsidP="00F57263">
      <w:pPr>
        <w:rPr>
          <w:szCs w:val="22"/>
        </w:rPr>
      </w:pPr>
      <w:r>
        <w:rPr>
          <w:szCs w:val="22"/>
        </w:rPr>
        <w:t xml:space="preserve">There is a long history of protecting RNSS operations in the ITU.  Multiple RNSS systems and networks transmit signals around-the-clock across all three ITU Regions and radiate across the entire surface of the Earth. Although these RNSS allocations are in bands that have favorable propagation and other characteristics for terrestrial mobile broadband, the ITU did not study the use of these or adjacent bands.  </w:t>
      </w:r>
    </w:p>
    <w:p w:rsidR="00AE0EBB" w:rsidRDefault="00AE0EBB" w:rsidP="00F57263">
      <w:pPr>
        <w:rPr>
          <w:szCs w:val="22"/>
        </w:rPr>
      </w:pPr>
      <w:r w:rsidRPr="0024682B">
        <w:rPr>
          <w:szCs w:val="22"/>
        </w:rPr>
        <w:t xml:space="preserve">Due to the vital and global role of the RNSS, the sensitive nature of RNSS receivers, and lack </w:t>
      </w:r>
      <w:r w:rsidRPr="0024682B">
        <w:t>of relevant sharing and compatibility studies within the ITU-R, no allocation to the mobile service for IMT, or</w:t>
      </w:r>
      <w:r w:rsidRPr="0024682B">
        <w:rPr>
          <w:szCs w:val="22"/>
        </w:rPr>
        <w:t xml:space="preserve"> identification for IMT, should be considered in the bands 5</w:t>
      </w:r>
      <w:r w:rsidRPr="0024682B">
        <w:rPr>
          <w:b/>
          <w:szCs w:val="22"/>
        </w:rPr>
        <w:t> </w:t>
      </w:r>
      <w:r w:rsidRPr="0024682B">
        <w:rPr>
          <w:szCs w:val="22"/>
        </w:rPr>
        <w:t>000-5</w:t>
      </w:r>
      <w:r w:rsidRPr="0024682B">
        <w:rPr>
          <w:b/>
          <w:szCs w:val="22"/>
        </w:rPr>
        <w:t> </w:t>
      </w:r>
      <w:r w:rsidRPr="0024682B">
        <w:rPr>
          <w:szCs w:val="22"/>
        </w:rPr>
        <w:t>010 MHz or 5</w:t>
      </w:r>
      <w:r w:rsidRPr="0024682B">
        <w:rPr>
          <w:b/>
          <w:szCs w:val="22"/>
        </w:rPr>
        <w:t> </w:t>
      </w:r>
      <w:r w:rsidRPr="0024682B">
        <w:rPr>
          <w:szCs w:val="22"/>
        </w:rPr>
        <w:t>010-5</w:t>
      </w:r>
      <w:r w:rsidRPr="0024682B">
        <w:rPr>
          <w:b/>
          <w:szCs w:val="22"/>
        </w:rPr>
        <w:t> </w:t>
      </w:r>
      <w:r w:rsidRPr="0024682B">
        <w:rPr>
          <w:szCs w:val="22"/>
        </w:rPr>
        <w:t>030 MHz.</w:t>
      </w:r>
      <w:r>
        <w:rPr>
          <w:szCs w:val="22"/>
        </w:rPr>
        <w:t xml:space="preserve"> </w:t>
      </w:r>
    </w:p>
    <w:p w:rsidR="00AE0EBB" w:rsidRDefault="00AE0EBB" w:rsidP="00F57263">
      <w:pPr>
        <w:rPr>
          <w:szCs w:val="22"/>
        </w:rPr>
      </w:pPr>
    </w:p>
    <w:p w:rsidR="00AE0EBB" w:rsidRDefault="00AE0EBB" w:rsidP="00F57263">
      <w:pPr>
        <w:rPr>
          <w:b/>
          <w:szCs w:val="22"/>
        </w:rPr>
      </w:pPr>
    </w:p>
    <w:p w:rsidR="00AE0EBB" w:rsidRDefault="00AE0EBB" w:rsidP="00F57263">
      <w:pPr>
        <w:rPr>
          <w:b/>
          <w:szCs w:val="22"/>
        </w:rPr>
      </w:pPr>
      <w:r>
        <w:rPr>
          <w:b/>
          <w:szCs w:val="22"/>
        </w:rPr>
        <w:t>Proposal</w:t>
      </w:r>
      <w:r>
        <w:rPr>
          <w:szCs w:val="22"/>
        </w:rPr>
        <w:t>:</w:t>
      </w:r>
      <w:r w:rsidRPr="009E790B">
        <w:rPr>
          <w:szCs w:val="22"/>
        </w:rPr>
        <w:t xml:space="preserve">  </w:t>
      </w:r>
    </w:p>
    <w:p w:rsidR="00AE0EBB" w:rsidRDefault="00AE0EBB" w:rsidP="00F57263">
      <w:pPr>
        <w:rPr>
          <w:b/>
          <w:szCs w:val="22"/>
          <w:u w:val="single"/>
        </w:rPr>
      </w:pPr>
    </w:p>
    <w:p w:rsidR="00AE0EBB" w:rsidRDefault="00AE0EBB" w:rsidP="00F57263">
      <w:pPr>
        <w:tabs>
          <w:tab w:val="left" w:pos="1872"/>
        </w:tabs>
        <w:rPr>
          <w:szCs w:val="22"/>
        </w:rPr>
      </w:pPr>
      <w:r>
        <w:rPr>
          <w:b/>
          <w:szCs w:val="22"/>
          <w:u w:val="single"/>
        </w:rPr>
        <w:t>NOC</w:t>
      </w:r>
      <w:r>
        <w:rPr>
          <w:szCs w:val="22"/>
        </w:rPr>
        <w:t xml:space="preserve"> </w:t>
      </w:r>
      <w:r>
        <w:rPr>
          <w:szCs w:val="22"/>
        </w:rPr>
        <w:tab/>
        <w:t>USA/1.1/1</w:t>
      </w:r>
    </w:p>
    <w:p w:rsidR="00AE0EBB" w:rsidRPr="009E790B" w:rsidRDefault="00AE0EBB" w:rsidP="00F57263">
      <w:pPr>
        <w:keepNext/>
        <w:keepLines/>
        <w:tabs>
          <w:tab w:val="left" w:pos="1134"/>
          <w:tab w:val="left" w:pos="1871"/>
          <w:tab w:val="left" w:pos="2268"/>
        </w:tabs>
        <w:overflowPunct w:val="0"/>
        <w:autoSpaceDE w:val="0"/>
        <w:autoSpaceDN w:val="0"/>
        <w:adjustRightInd w:val="0"/>
        <w:spacing w:before="240"/>
        <w:jc w:val="center"/>
        <w:textAlignment w:val="baseline"/>
        <w:rPr>
          <w:color w:val="000000"/>
          <w:sz w:val="28"/>
          <w:lang w:val="it-IT"/>
        </w:rPr>
      </w:pPr>
      <w:r w:rsidRPr="009E790B">
        <w:rPr>
          <w:color w:val="000000"/>
          <w:sz w:val="28"/>
          <w:lang w:val="it-IT"/>
        </w:rPr>
        <w:lastRenderedPageBreak/>
        <w:t>ARTICLE  5</w:t>
      </w:r>
    </w:p>
    <w:p w:rsidR="00AE0EBB" w:rsidRPr="009E790B" w:rsidRDefault="00AE0EBB" w:rsidP="00F57263">
      <w:pPr>
        <w:keepNext/>
        <w:keepLines/>
        <w:overflowPunct w:val="0"/>
        <w:autoSpaceDE w:val="0"/>
        <w:autoSpaceDN w:val="0"/>
        <w:adjustRightInd w:val="0"/>
        <w:spacing w:before="240"/>
        <w:jc w:val="center"/>
        <w:textAlignment w:val="baseline"/>
        <w:rPr>
          <w:b/>
          <w:noProof/>
          <w:color w:val="000000"/>
          <w:sz w:val="28"/>
          <w:szCs w:val="28"/>
        </w:rPr>
      </w:pPr>
      <w:r w:rsidRPr="009E790B">
        <w:rPr>
          <w:b/>
          <w:noProof/>
          <w:color w:val="000000"/>
          <w:sz w:val="28"/>
          <w:szCs w:val="28"/>
        </w:rPr>
        <w:t>Frequency allocations</w:t>
      </w:r>
    </w:p>
    <w:p w:rsidR="00AE0EBB" w:rsidRDefault="00AE0EBB" w:rsidP="00F57263">
      <w:pPr>
        <w:jc w:val="center"/>
        <w:rPr>
          <w:szCs w:val="22"/>
        </w:rPr>
      </w:pPr>
    </w:p>
    <w:p w:rsidR="00AE0EBB" w:rsidRDefault="00AE0EBB" w:rsidP="00F57263">
      <w:pPr>
        <w:jc w:val="center"/>
        <w:rPr>
          <w:b/>
          <w:szCs w:val="22"/>
        </w:rPr>
      </w:pPr>
      <w:r>
        <w:rPr>
          <w:b/>
          <w:szCs w:val="22"/>
        </w:rPr>
        <w:t>5 010-5 030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91"/>
        <w:gridCol w:w="3178"/>
      </w:tblGrid>
      <w:tr w:rsidR="00AE0EBB" w:rsidTr="00E14119">
        <w:tc>
          <w:tcPr>
            <w:tcW w:w="9855" w:type="dxa"/>
            <w:gridSpan w:val="3"/>
            <w:shd w:val="clear" w:color="auto" w:fill="auto"/>
          </w:tcPr>
          <w:p w:rsidR="00AE0EBB" w:rsidRDefault="00AE0EBB" w:rsidP="00E14119">
            <w:pPr>
              <w:jc w:val="center"/>
              <w:rPr>
                <w:b/>
                <w:szCs w:val="22"/>
              </w:rPr>
            </w:pPr>
            <w:r>
              <w:rPr>
                <w:b/>
                <w:szCs w:val="22"/>
              </w:rPr>
              <w:t>Allocation to services</w:t>
            </w:r>
          </w:p>
        </w:tc>
      </w:tr>
      <w:tr w:rsidR="00AE0EBB" w:rsidTr="00E14119">
        <w:tc>
          <w:tcPr>
            <w:tcW w:w="3285" w:type="dxa"/>
            <w:shd w:val="clear" w:color="auto" w:fill="auto"/>
          </w:tcPr>
          <w:p w:rsidR="00AE0EBB" w:rsidRDefault="00AE0EBB" w:rsidP="00E14119">
            <w:pPr>
              <w:jc w:val="center"/>
              <w:rPr>
                <w:b/>
                <w:szCs w:val="22"/>
              </w:rPr>
            </w:pPr>
            <w:r>
              <w:rPr>
                <w:b/>
                <w:szCs w:val="22"/>
              </w:rPr>
              <w:t>Region 1</w:t>
            </w:r>
          </w:p>
        </w:tc>
        <w:tc>
          <w:tcPr>
            <w:tcW w:w="3285" w:type="dxa"/>
            <w:shd w:val="clear" w:color="auto" w:fill="auto"/>
          </w:tcPr>
          <w:p w:rsidR="00AE0EBB" w:rsidRDefault="00AE0EBB" w:rsidP="00E14119">
            <w:pPr>
              <w:jc w:val="center"/>
              <w:rPr>
                <w:b/>
                <w:szCs w:val="22"/>
              </w:rPr>
            </w:pPr>
            <w:r>
              <w:rPr>
                <w:b/>
                <w:szCs w:val="22"/>
              </w:rPr>
              <w:t>Region 2</w:t>
            </w:r>
          </w:p>
        </w:tc>
        <w:tc>
          <w:tcPr>
            <w:tcW w:w="3285" w:type="dxa"/>
            <w:shd w:val="clear" w:color="auto" w:fill="auto"/>
          </w:tcPr>
          <w:p w:rsidR="00AE0EBB" w:rsidRDefault="00AE0EBB" w:rsidP="00E14119">
            <w:pPr>
              <w:jc w:val="center"/>
              <w:rPr>
                <w:b/>
                <w:szCs w:val="22"/>
              </w:rPr>
            </w:pPr>
            <w:r>
              <w:rPr>
                <w:b/>
                <w:szCs w:val="22"/>
              </w:rPr>
              <w:t>Region 3</w:t>
            </w:r>
          </w:p>
        </w:tc>
      </w:tr>
      <w:tr w:rsidR="00AE0EBB" w:rsidTr="00E14119">
        <w:tc>
          <w:tcPr>
            <w:tcW w:w="9855" w:type="dxa"/>
            <w:gridSpan w:val="3"/>
            <w:shd w:val="clear" w:color="auto" w:fill="auto"/>
          </w:tcPr>
          <w:p w:rsidR="00AE0EBB" w:rsidRDefault="00AE0EBB" w:rsidP="00E14119">
            <w:pPr>
              <w:jc w:val="center"/>
              <w:rPr>
                <w:szCs w:val="22"/>
              </w:rPr>
            </w:pPr>
            <w:r>
              <w:rPr>
                <w:szCs w:val="22"/>
              </w:rPr>
              <w:t>…</w:t>
            </w:r>
          </w:p>
        </w:tc>
      </w:tr>
      <w:tr w:rsidR="00AE0EBB" w:rsidTr="00E14119">
        <w:tc>
          <w:tcPr>
            <w:tcW w:w="9855" w:type="dxa"/>
            <w:gridSpan w:val="3"/>
            <w:shd w:val="clear" w:color="auto" w:fill="auto"/>
          </w:tcPr>
          <w:p w:rsidR="00AE0EBB" w:rsidRDefault="00AE0EBB" w:rsidP="00E14119">
            <w:pPr>
              <w:rPr>
                <w:szCs w:val="22"/>
              </w:rPr>
            </w:pPr>
            <w:r>
              <w:rPr>
                <w:b/>
                <w:szCs w:val="22"/>
              </w:rPr>
              <w:t xml:space="preserve">5 000-5 010                                     </w:t>
            </w:r>
            <w:r>
              <w:rPr>
                <w:szCs w:val="22"/>
              </w:rPr>
              <w:t>AERONAUTICAL MOBILE-SATELLITE (R) 5.443AA</w:t>
            </w:r>
          </w:p>
          <w:p w:rsidR="00AE0EBB" w:rsidRDefault="00AE0EBB" w:rsidP="00E14119">
            <w:pPr>
              <w:ind w:firstLine="3119"/>
              <w:rPr>
                <w:szCs w:val="22"/>
              </w:rPr>
            </w:pPr>
            <w:r>
              <w:rPr>
                <w:szCs w:val="22"/>
              </w:rPr>
              <w:t>AERONAUTICAL RADIONAVIGATION</w:t>
            </w:r>
          </w:p>
          <w:p w:rsidR="00AE0EBB" w:rsidRDefault="00AE0EBB" w:rsidP="00E14119">
            <w:pPr>
              <w:rPr>
                <w:b/>
                <w:szCs w:val="22"/>
              </w:rPr>
            </w:pPr>
            <w:r>
              <w:rPr>
                <w:szCs w:val="22"/>
              </w:rPr>
              <w:t xml:space="preserve">                                                        RADIONAVIGATION-SATELLITE (Earth-to-space) </w:t>
            </w:r>
          </w:p>
        </w:tc>
      </w:tr>
      <w:tr w:rsidR="00AE0EBB" w:rsidTr="00E14119">
        <w:tc>
          <w:tcPr>
            <w:tcW w:w="9855" w:type="dxa"/>
            <w:gridSpan w:val="3"/>
            <w:shd w:val="clear" w:color="auto" w:fill="auto"/>
          </w:tcPr>
          <w:p w:rsidR="00AE0EBB" w:rsidRDefault="00AE0EBB" w:rsidP="00E14119">
            <w:pPr>
              <w:rPr>
                <w:szCs w:val="22"/>
              </w:rPr>
            </w:pPr>
            <w:r>
              <w:rPr>
                <w:b/>
                <w:szCs w:val="22"/>
              </w:rPr>
              <w:t xml:space="preserve">5 010-5 030                                     </w:t>
            </w:r>
            <w:r>
              <w:rPr>
                <w:szCs w:val="22"/>
              </w:rPr>
              <w:t>AERONAUTICAL MOBILE-SATELLITE (R) 5.443AA</w:t>
            </w:r>
          </w:p>
          <w:p w:rsidR="00AE0EBB" w:rsidRDefault="00AE0EBB" w:rsidP="00E14119">
            <w:pPr>
              <w:ind w:firstLine="3119"/>
              <w:rPr>
                <w:szCs w:val="22"/>
              </w:rPr>
            </w:pPr>
            <w:r>
              <w:rPr>
                <w:szCs w:val="22"/>
              </w:rPr>
              <w:t>AERONAUTICAL RADIONAVIGATION</w:t>
            </w:r>
          </w:p>
          <w:p w:rsidR="00AE0EBB" w:rsidRDefault="00AE0EBB" w:rsidP="00E14119">
            <w:pPr>
              <w:ind w:left="3544" w:hanging="425"/>
              <w:rPr>
                <w:szCs w:val="22"/>
              </w:rPr>
            </w:pPr>
            <w:r>
              <w:rPr>
                <w:szCs w:val="22"/>
              </w:rPr>
              <w:t>RADIONAVIGATION-SATELLITE (space-to-Earth) (space-to-space) 5.328B  5.443B</w:t>
            </w:r>
          </w:p>
        </w:tc>
      </w:tr>
    </w:tbl>
    <w:p w:rsidR="00AE0EBB" w:rsidRDefault="00AE0EBB" w:rsidP="00F57263">
      <w:pPr>
        <w:spacing w:before="240"/>
        <w:rPr>
          <w:szCs w:val="22"/>
        </w:rPr>
      </w:pPr>
      <w:r>
        <w:rPr>
          <w:b/>
          <w:szCs w:val="22"/>
        </w:rPr>
        <w:t>Reason:</w:t>
      </w:r>
      <w:r>
        <w:rPr>
          <w:szCs w:val="22"/>
        </w:rPr>
        <w:t xml:space="preserve">  To ensure the protection of current and future operation of RNSS systems around the world.</w:t>
      </w:r>
    </w:p>
    <w:p w:rsidR="00AE0EBB" w:rsidRDefault="00AE0EBB" w:rsidP="00F57263">
      <w:pPr>
        <w:rPr>
          <w:sz w:val="28"/>
          <w:lang w:val="en-GB"/>
        </w:rPr>
      </w:pPr>
    </w:p>
    <w:p w:rsidR="00AE0EBB" w:rsidRDefault="00AE0EBB" w:rsidP="00F57263">
      <w:pPr>
        <w:jc w:val="center"/>
        <w:rPr>
          <w:b/>
          <w:bCs/>
        </w:rPr>
      </w:pPr>
    </w:p>
    <w:p w:rsidR="00AE0EBB" w:rsidRDefault="00AE0EBB"/>
    <w:p w:rsidR="00E327BE" w:rsidRDefault="00E327BE" w:rsidP="00EF5D1F">
      <w:pPr>
        <w:rPr>
          <w:b/>
          <w:bCs/>
          <w:szCs w:val="22"/>
        </w:rPr>
      </w:pPr>
    </w:p>
    <w:sectPr w:rsidR="00E327BE" w:rsidSect="00EB6DF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71" w:rsidRDefault="00645B71">
      <w:r>
        <w:separator/>
      </w:r>
    </w:p>
  </w:endnote>
  <w:endnote w:type="continuationSeparator" w:id="0">
    <w:p w:rsidR="00645B71" w:rsidRDefault="0064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EBB">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71" w:rsidRDefault="00645B71">
      <w:r>
        <w:separator/>
      </w:r>
    </w:p>
  </w:footnote>
  <w:footnote w:type="continuationSeparator" w:id="0">
    <w:p w:rsidR="00645B71" w:rsidRDefault="0064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D0E3C"/>
    <w:rsid w:val="002178DF"/>
    <w:rsid w:val="00220543"/>
    <w:rsid w:val="00275D97"/>
    <w:rsid w:val="002C569B"/>
    <w:rsid w:val="002E212F"/>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45B71"/>
    <w:rsid w:val="00687F0A"/>
    <w:rsid w:val="006968FF"/>
    <w:rsid w:val="006F7C09"/>
    <w:rsid w:val="007043EB"/>
    <w:rsid w:val="00713189"/>
    <w:rsid w:val="007133A1"/>
    <w:rsid w:val="007308E1"/>
    <w:rsid w:val="00744A51"/>
    <w:rsid w:val="00754331"/>
    <w:rsid w:val="0077165B"/>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9C2"/>
    <w:rsid w:val="00E9191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3189</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2</cp:revision>
  <cp:lastPrinted>1999-10-11T18:56:00Z</cp:lastPrinted>
  <dcterms:created xsi:type="dcterms:W3CDTF">2014-09-12T19:25:00Z</dcterms:created>
  <dcterms:modified xsi:type="dcterms:W3CDTF">2014-09-12T19:25:00Z</dcterms:modified>
</cp:coreProperties>
</file>