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D5" w:rsidRDefault="006D75D5"/>
    <w:p w:rsidR="009A5E5D" w:rsidRPr="00CB7307" w:rsidRDefault="009A5E5D" w:rsidP="009A5E5D">
      <w:pPr>
        <w:pStyle w:val="Heading1"/>
        <w:jc w:val="center"/>
        <w:rPr>
          <w:u w:val="none"/>
        </w:rPr>
      </w:pPr>
      <w:bookmarkStart w:id="0" w:name="OLE_LINK3"/>
      <w:bookmarkStart w:id="1" w:name="OLE_LINK4"/>
      <w:r w:rsidRPr="00CB7307">
        <w:rPr>
          <w:u w:val="none"/>
        </w:rPr>
        <w:t>UNITED STATES OF AMERICA</w:t>
      </w:r>
    </w:p>
    <w:p w:rsidR="009A5E5D" w:rsidRPr="00CB7307" w:rsidRDefault="009A5E5D" w:rsidP="009A5E5D">
      <w:pPr>
        <w:jc w:val="center"/>
      </w:pPr>
    </w:p>
    <w:p w:rsidR="009A5E5D" w:rsidRPr="00CB7307" w:rsidRDefault="009A5E5D" w:rsidP="009A5E5D">
      <w:pPr>
        <w:pStyle w:val="Heading1"/>
        <w:jc w:val="center"/>
        <w:rPr>
          <w:u w:val="none"/>
        </w:rPr>
      </w:pPr>
      <w:r w:rsidRPr="00CB7307">
        <w:rPr>
          <w:u w:val="none"/>
        </w:rPr>
        <w:t>PRELIMINARY VIEWS FOR WRC-15</w:t>
      </w:r>
    </w:p>
    <w:bookmarkEnd w:id="0"/>
    <w:bookmarkEnd w:id="1"/>
    <w:p w:rsidR="00BB4704" w:rsidRDefault="00BB4704" w:rsidP="00BB4704">
      <w:pPr>
        <w:rPr>
          <w:b/>
          <w:bCs/>
        </w:rPr>
      </w:pPr>
    </w:p>
    <w:p w:rsidR="00BB4704" w:rsidRPr="0060327C" w:rsidRDefault="00BB4704" w:rsidP="00BB4704">
      <w:pPr>
        <w:rPr>
          <w:b/>
          <w:iCs/>
        </w:rPr>
      </w:pPr>
      <w:r w:rsidRPr="0060327C">
        <w:rPr>
          <w:b/>
          <w:bCs/>
        </w:rPr>
        <w:t>Agenda Item 1.1</w:t>
      </w:r>
      <w:r>
        <w:rPr>
          <w:bCs/>
        </w:rPr>
        <w:t>:</w:t>
      </w:r>
      <w:r w:rsidRPr="0060327C">
        <w:rPr>
          <w:i/>
          <w:iCs/>
        </w:rPr>
        <w:t xml:space="preserve"> </w:t>
      </w:r>
      <w:r w:rsidRPr="0060327C">
        <w:rPr>
          <w:iCs/>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DC68A7">
        <w:rPr>
          <w:b/>
          <w:bCs/>
          <w:iCs/>
        </w:rPr>
        <w:t xml:space="preserve">233 </w:t>
      </w:r>
      <w:r w:rsidR="00206CEF">
        <w:rPr>
          <w:b/>
          <w:bCs/>
          <w:iCs/>
        </w:rPr>
        <w:t>(WRC-</w:t>
      </w:r>
      <w:r w:rsidRPr="0060327C">
        <w:rPr>
          <w:b/>
          <w:bCs/>
          <w:iCs/>
        </w:rPr>
        <w:t>12)</w:t>
      </w:r>
    </w:p>
    <w:p w:rsidR="00BB4704" w:rsidRPr="0060327C" w:rsidRDefault="00BB4704" w:rsidP="00BB4704"/>
    <w:p w:rsidR="00BB4704" w:rsidRDefault="00BB4704" w:rsidP="00BB4704">
      <w:r w:rsidRPr="0060327C">
        <w:rPr>
          <w:b/>
        </w:rPr>
        <w:t>BACKGROUND</w:t>
      </w:r>
      <w:r w:rsidRPr="0060327C">
        <w:t>:</w:t>
      </w:r>
      <w:r w:rsidRPr="0060327C">
        <w:rPr>
          <w:b/>
        </w:rPr>
        <w:t xml:space="preserve">  </w:t>
      </w:r>
      <w:r w:rsidRPr="0060327C">
        <w:t xml:space="preserve">Mobile broadband systems, data and applications have become key drivers of global economic growth, job creation and competitiveness.  A recently released industry report indicates that global </w:t>
      </w:r>
      <w:r w:rsidRPr="0060327C">
        <w:rPr>
          <w:rStyle w:val="ccmtdefault"/>
          <w:bCs/>
          <w:color w:val="000000"/>
          <w:shd w:val="clear" w:color="auto" w:fill="FFFFFF"/>
        </w:rPr>
        <w:t xml:space="preserve">mobile data traffic grew </w:t>
      </w:r>
      <w:r w:rsidRPr="0060327C">
        <w:rPr>
          <w:color w:val="000000"/>
          <w:shd w:val="clear" w:color="auto" w:fill="FFFFFF"/>
        </w:rPr>
        <w:t>133 percent in 2011 alone</w:t>
      </w:r>
      <w:r>
        <w:rPr>
          <w:color w:val="000000"/>
          <w:shd w:val="clear" w:color="auto" w:fill="FFFFFF"/>
        </w:rPr>
        <w:t>,</w:t>
      </w:r>
      <w:r w:rsidRPr="0060327C">
        <w:rPr>
          <w:color w:val="000000"/>
          <w:shd w:val="clear" w:color="auto" w:fill="FFFFFF"/>
        </w:rPr>
        <w:t xml:space="preserve"> with mobile video comprising 52% of the traffic.</w:t>
      </w:r>
      <w:r w:rsidRPr="00DC68A7">
        <w:rPr>
          <w:rStyle w:val="FootnoteReference"/>
          <w:color w:val="000000"/>
          <w:shd w:val="clear" w:color="auto" w:fill="FFFFFF"/>
        </w:rPr>
        <w:footnoteReference w:id="2"/>
      </w:r>
      <w:r w:rsidRPr="0060327C">
        <w:rPr>
          <w:color w:val="000000"/>
          <w:shd w:val="clear" w:color="auto" w:fill="FFFFFF"/>
        </w:rPr>
        <w:t xml:space="preserve">  </w:t>
      </w:r>
      <w:r w:rsidRPr="00867DFA">
        <w:t xml:space="preserve">This </w:t>
      </w:r>
      <w:r>
        <w:t xml:space="preserve">dramatic </w:t>
      </w:r>
      <w:r w:rsidRPr="00867DFA">
        <w:t xml:space="preserve">increase in demand for mobile broadband applications has led to a need for </w:t>
      </w:r>
      <w:r>
        <w:t xml:space="preserve">additional </w:t>
      </w:r>
      <w:r w:rsidRPr="00867DFA">
        <w:t xml:space="preserve">radio spectrum to support the increasing mobile </w:t>
      </w:r>
      <w:r>
        <w:t>data traffic</w:t>
      </w:r>
      <w:r w:rsidRPr="00867DFA">
        <w:t>.</w:t>
      </w:r>
      <w:r w:rsidRPr="0060327C">
        <w:t xml:space="preserve">  The W</w:t>
      </w:r>
      <w:r>
        <w:t xml:space="preserve">orld </w:t>
      </w:r>
      <w:r w:rsidRPr="0060327C">
        <w:t>R</w:t>
      </w:r>
      <w:r>
        <w:t xml:space="preserve">adiocommunication </w:t>
      </w:r>
      <w:r w:rsidRPr="0060327C">
        <w:t>C</w:t>
      </w:r>
      <w:r>
        <w:t>onference 2012 (WRC</w:t>
      </w:r>
      <w:r w:rsidRPr="0060327C">
        <w:t>-12</w:t>
      </w:r>
      <w:r>
        <w:t>)</w:t>
      </w:r>
      <w:r w:rsidRPr="0060327C">
        <w:t xml:space="preserve"> recognized this </w:t>
      </w:r>
      <w:r w:rsidRPr="00867DFA">
        <w:t>need</w:t>
      </w:r>
      <w:r w:rsidRPr="0060327C">
        <w:t xml:space="preserve"> and</w:t>
      </w:r>
      <w:r>
        <w:t xml:space="preserve"> </w:t>
      </w:r>
      <w:r w:rsidRPr="0060327C">
        <w:t xml:space="preserve">adopted </w:t>
      </w:r>
      <w:r>
        <w:t xml:space="preserve">WRC-15 </w:t>
      </w:r>
      <w:r w:rsidRPr="0060327C">
        <w:t>Agenda Item 1.</w:t>
      </w:r>
      <w:r>
        <w:t>1,</w:t>
      </w:r>
      <w:r w:rsidRPr="0060327C">
        <w:t xml:space="preserve"> in an effort to address a looming spectrum shortage for mobile broadband services</w:t>
      </w:r>
      <w:r>
        <w:t>.</w:t>
      </w:r>
    </w:p>
    <w:p w:rsidR="00BB4704" w:rsidRDefault="00BB4704" w:rsidP="00BB4704"/>
    <w:p w:rsidR="00BB4704" w:rsidRPr="0060327C" w:rsidRDefault="00BB4704" w:rsidP="00BB4704">
      <w:r w:rsidRPr="0060327C">
        <w:t>It is particularly advantageous to consider the 470-698 MHz frequency range to help ameliorate the potential mobile broadband spectrum shortfall in Region 2.</w:t>
      </w:r>
      <w:r w:rsidR="00515D8A">
        <w:t xml:space="preserve"> </w:t>
      </w:r>
      <w:r>
        <w:t xml:space="preserve"> </w:t>
      </w:r>
      <w:r w:rsidRPr="0060327C">
        <w:t>There are a number of factors that make the 470-698 MHz band particularly attractive for mobile broadband applications:</w:t>
      </w:r>
    </w:p>
    <w:p w:rsidR="00BB4704" w:rsidRPr="0060327C" w:rsidRDefault="00BB4704" w:rsidP="00BB4704"/>
    <w:p w:rsidR="00BB4704" w:rsidRPr="0060327C" w:rsidRDefault="00BB4704" w:rsidP="00BB4704">
      <w:pPr>
        <w:numPr>
          <w:ilvl w:val="0"/>
          <w:numId w:val="4"/>
        </w:numPr>
      </w:pPr>
      <w:r w:rsidRPr="0060327C">
        <w:t xml:space="preserve">The lower and upper edges of the 470-698 MHz frequency range are adjacent to bands that are already identified for IMT (e.g., 450-470 MHz (No. </w:t>
      </w:r>
      <w:r w:rsidRPr="0060327C">
        <w:rPr>
          <w:b/>
        </w:rPr>
        <w:t>5.286AA</w:t>
      </w:r>
      <w:r w:rsidRPr="0060327C">
        <w:t xml:space="preserve">) and 698-902 MHz (No. </w:t>
      </w:r>
      <w:r w:rsidRPr="0060327C">
        <w:rPr>
          <w:b/>
        </w:rPr>
        <w:t>5.317A</w:t>
      </w:r>
      <w:r w:rsidRPr="0060327C">
        <w:t>)) in Region 2.  This will aid in providing for commonality of equipment while reducing its cost and complexity.</w:t>
      </w:r>
    </w:p>
    <w:p w:rsidR="00BB4704" w:rsidRPr="0060327C" w:rsidRDefault="00BB4704" w:rsidP="00BB4704">
      <w:pPr>
        <w:numPr>
          <w:ilvl w:val="0"/>
          <w:numId w:val="4"/>
        </w:numPr>
      </w:pPr>
      <w:r w:rsidRPr="0060327C">
        <w:t>The 470-698 MHz frequency range has better propagation characteristics compa</w:t>
      </w:r>
      <w:r>
        <w:t>red</w:t>
      </w:r>
      <w:r w:rsidRPr="0060327C">
        <w:t xml:space="preserve"> to higher frequency bands and can provide significant coverage in rural areas. This is particularly important for the developing countries and countries with large </w:t>
      </w:r>
      <w:r>
        <w:t xml:space="preserve">areas of </w:t>
      </w:r>
      <w:r w:rsidRPr="0060327C">
        <w:t>low population density</w:t>
      </w:r>
      <w:r>
        <w:t>.</w:t>
      </w:r>
    </w:p>
    <w:p w:rsidR="00BB4704" w:rsidRPr="0060327C" w:rsidRDefault="00BB4704" w:rsidP="00BB4704">
      <w:pPr>
        <w:numPr>
          <w:ilvl w:val="0"/>
          <w:numId w:val="3"/>
        </w:numPr>
      </w:pPr>
      <w:r w:rsidRPr="0060327C">
        <w:t>Most importantly, a new, internatio</w:t>
      </w:r>
      <w:r w:rsidR="00A673C0">
        <w:t>nal allocation to the m</w:t>
      </w:r>
      <w:r w:rsidRPr="0060327C">
        <w:t>obile service that is co-primary with existing services would a</w:t>
      </w:r>
      <w:r>
        <w:t>fford</w:t>
      </w:r>
      <w:r w:rsidRPr="0060327C">
        <w:t xml:space="preserve"> administrations </w:t>
      </w:r>
      <w:r>
        <w:t xml:space="preserve">the </w:t>
      </w:r>
      <w:r w:rsidRPr="0060327C">
        <w:t>flexibility to maximize spectrum efficiency consistent w</w:t>
      </w:r>
      <w:r w:rsidR="00206CEF">
        <w:t>ith their national priorities.</w:t>
      </w:r>
    </w:p>
    <w:p w:rsidR="00BB4704" w:rsidRPr="0060327C" w:rsidRDefault="00BB4704" w:rsidP="00BB4704">
      <w:pPr>
        <w:ind w:left="720"/>
      </w:pPr>
    </w:p>
    <w:p w:rsidR="00BB4704" w:rsidRPr="0060327C" w:rsidRDefault="00BB4704" w:rsidP="00BB4704">
      <w:pPr>
        <w:autoSpaceDE w:val="0"/>
        <w:autoSpaceDN w:val="0"/>
        <w:adjustRightInd w:val="0"/>
      </w:pPr>
      <w:r w:rsidRPr="0060327C">
        <w:t>Currently, in Region 2, the 470-698 MHz range is alloc</w:t>
      </w:r>
      <w:r w:rsidR="00206CEF">
        <w:t>ated predominantly to the b</w:t>
      </w:r>
      <w:r w:rsidRPr="0060327C">
        <w:t>roadcasting service with the</w:t>
      </w:r>
      <w:r w:rsidR="00206CEF">
        <w:t xml:space="preserve"> 608-614 MHz band allocated to radio a</w:t>
      </w:r>
      <w:r w:rsidRPr="0060327C">
        <w:t>stronomy.  It is important to note, however, that:</w:t>
      </w:r>
    </w:p>
    <w:p w:rsidR="00BB4704" w:rsidRPr="0060327C" w:rsidRDefault="00BB4704" w:rsidP="00BB4704">
      <w:pPr>
        <w:numPr>
          <w:ilvl w:val="0"/>
          <w:numId w:val="3"/>
        </w:numPr>
        <w:autoSpaceDE w:val="0"/>
        <w:autoSpaceDN w:val="0"/>
        <w:adjustRightInd w:val="0"/>
      </w:pPr>
      <w:r>
        <w:t xml:space="preserve">the </w:t>
      </w:r>
      <w:r w:rsidRPr="0060327C">
        <w:t xml:space="preserve">470-512 MHz frequency band is allocated to the mobile service on a primary basis in Argentina, Canada, Chile, Colombia, Cuba, Ecuador, the United States, Guyana, Honduras, Jamaica, Mexico, Panama and Peru (No. </w:t>
      </w:r>
      <w:r w:rsidRPr="0060327C">
        <w:rPr>
          <w:b/>
        </w:rPr>
        <w:t>5.293</w:t>
      </w:r>
      <w:r w:rsidRPr="0060327C">
        <w:t>)</w:t>
      </w:r>
      <w:r w:rsidRPr="0060327C">
        <w:rPr>
          <w:b/>
        </w:rPr>
        <w:t xml:space="preserve">; </w:t>
      </w:r>
    </w:p>
    <w:p w:rsidR="00BB4704" w:rsidRPr="0060327C" w:rsidRDefault="00BB4704" w:rsidP="00BB4704">
      <w:pPr>
        <w:numPr>
          <w:ilvl w:val="0"/>
          <w:numId w:val="3"/>
        </w:numPr>
        <w:autoSpaceDE w:val="0"/>
        <w:autoSpaceDN w:val="0"/>
        <w:adjustRightInd w:val="0"/>
      </w:pPr>
      <w:r>
        <w:t xml:space="preserve">the </w:t>
      </w:r>
      <w:r w:rsidRPr="0060327C">
        <w:t xml:space="preserve">512-608 MHz frequency band is allocated to the mobile service on a primary basis in Canada, Costa Rica, Cuba, El Salvador, the United States, Guatemala, Guyana, Honduras, Jamaica and Mexico (No. </w:t>
      </w:r>
      <w:r w:rsidRPr="0060327C">
        <w:rPr>
          <w:b/>
        </w:rPr>
        <w:t>5.297</w:t>
      </w:r>
      <w:r w:rsidRPr="0060327C">
        <w:t>);</w:t>
      </w:r>
    </w:p>
    <w:p w:rsidR="00BB4704" w:rsidRPr="0060327C" w:rsidRDefault="00BB4704" w:rsidP="00BB4704">
      <w:pPr>
        <w:numPr>
          <w:ilvl w:val="0"/>
          <w:numId w:val="3"/>
        </w:numPr>
        <w:autoSpaceDE w:val="0"/>
        <w:autoSpaceDN w:val="0"/>
        <w:adjustRightInd w:val="0"/>
      </w:pPr>
      <w:r>
        <w:lastRenderedPageBreak/>
        <w:t xml:space="preserve">the </w:t>
      </w:r>
      <w:r w:rsidRPr="0060327C">
        <w:t xml:space="preserve">614-698 MHz frequency band is allocated to the mobile service is on a primary basis in Canada, Chile, Colombia, Cuba, the United States, Guyana, Honduras, Jamaica, Mexico, Panama and Peru the (No. </w:t>
      </w:r>
      <w:r w:rsidRPr="0060327C">
        <w:rPr>
          <w:b/>
        </w:rPr>
        <w:t>5.293</w:t>
      </w:r>
      <w:r w:rsidR="00870EE3">
        <w:t>).</w:t>
      </w:r>
    </w:p>
    <w:p w:rsidR="00BB4704" w:rsidRPr="0060327C" w:rsidRDefault="00BB4704" w:rsidP="00BB4704">
      <w:pPr>
        <w:autoSpaceDE w:val="0"/>
        <w:autoSpaceDN w:val="0"/>
        <w:adjustRightInd w:val="0"/>
        <w:ind w:left="720"/>
      </w:pPr>
    </w:p>
    <w:p w:rsidR="00BB4704" w:rsidRPr="0060327C" w:rsidRDefault="00BB4704" w:rsidP="00BB4704">
      <w:pPr>
        <w:autoSpaceDE w:val="0"/>
        <w:autoSpaceDN w:val="0"/>
        <w:adjustRightInd w:val="0"/>
      </w:pPr>
      <w:r w:rsidRPr="0060327C">
        <w:t>It is also worth noting that in Region 2</w:t>
      </w:r>
      <w:r>
        <w:t>,</w:t>
      </w:r>
      <w:r w:rsidRPr="0060327C">
        <w:t xml:space="preserve"> the </w:t>
      </w:r>
      <w:r>
        <w:t xml:space="preserve">primary </w:t>
      </w:r>
      <w:r w:rsidRPr="0060327C">
        <w:t>allocation to the mobile service extends from 698 MHz to 902 MHz a</w:t>
      </w:r>
      <w:r>
        <w:t>s well as</w:t>
      </w:r>
      <w:r w:rsidRPr="0060327C">
        <w:t xml:space="preserve"> from 928 MHz to 960 MHz, while in Region 3 there is a primary mobile allocation from 450-960</w:t>
      </w:r>
      <w:r>
        <w:t xml:space="preserve"> </w:t>
      </w:r>
      <w:r w:rsidRPr="0060327C">
        <w:t>MHz.</w:t>
      </w:r>
    </w:p>
    <w:p w:rsidR="00BB4704" w:rsidRPr="0060327C" w:rsidRDefault="00BB4704" w:rsidP="00BB4704"/>
    <w:p w:rsidR="00BB4704" w:rsidRPr="0060327C" w:rsidRDefault="00BB4704" w:rsidP="00BB4704">
      <w:r w:rsidRPr="0060327C">
        <w:rPr>
          <w:b/>
        </w:rPr>
        <w:t>U.S. VIEW</w:t>
      </w:r>
      <w:r w:rsidRPr="0060327C">
        <w:t>:</w:t>
      </w:r>
      <w:r w:rsidRPr="0060327C">
        <w:rPr>
          <w:b/>
        </w:rPr>
        <w:t xml:space="preserve">  </w:t>
      </w:r>
      <w:r w:rsidRPr="0060327C">
        <w:t xml:space="preserve">The United States considers that a new co-primary allocation to the </w:t>
      </w:r>
      <w:r>
        <w:t>m</w:t>
      </w:r>
      <w:r w:rsidRPr="0060327C">
        <w:t>obile service in the 470-698 MHz frequency range would help to alleviate the mobile broadband spectrum shortfall.  This new co-primary allocation would provide administrations with the ne</w:t>
      </w:r>
      <w:r>
        <w:t xml:space="preserve">cessary </w:t>
      </w:r>
      <w:r w:rsidRPr="0060327C">
        <w:t>flexibility to implement future transition</w:t>
      </w:r>
      <w:r>
        <w:t>s</w:t>
      </w:r>
      <w:r w:rsidRPr="0060327C">
        <w:t xml:space="preserve"> to digital television and manage any frequency rearrangements resulting from the digital dividend consistent with their national priorities. Recognizing that international regulations pertain only to cross-border sharing while each administration has a sovereign right to regulate the use of frequencies within its territory, the United States supports no change to the existing broadcasting and radio astronomy allocations in the 470-698 MHz frequency range.</w:t>
      </w:r>
    </w:p>
    <w:p w:rsidR="00BB4704" w:rsidRPr="0060327C" w:rsidRDefault="00BB4704" w:rsidP="00BB4704"/>
    <w:p w:rsidR="00BB4704" w:rsidRDefault="00BB4704"/>
    <w:p w:rsidR="00BB4704" w:rsidRDefault="00BB4704"/>
    <w:sectPr w:rsidR="00BB4704" w:rsidSect="009B4C89">
      <w:pgSz w:w="12240" w:h="15840" w:code="1"/>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A6" w:rsidRDefault="00875DA6">
      <w:r>
        <w:separator/>
      </w:r>
    </w:p>
  </w:endnote>
  <w:endnote w:type="continuationSeparator" w:id="1">
    <w:p w:rsidR="00875DA6" w:rsidRDefault="00875D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A6" w:rsidRDefault="00875DA6">
      <w:r>
        <w:separator/>
      </w:r>
    </w:p>
  </w:footnote>
  <w:footnote w:type="continuationSeparator" w:id="1">
    <w:p w:rsidR="00875DA6" w:rsidRDefault="00875DA6">
      <w:r>
        <w:continuationSeparator/>
      </w:r>
    </w:p>
  </w:footnote>
  <w:footnote w:id="2">
    <w:p w:rsidR="0062606F" w:rsidRDefault="0062606F" w:rsidP="00BB4704">
      <w:pPr>
        <w:pStyle w:val="FootnoteText"/>
      </w:pPr>
      <w:r>
        <w:rPr>
          <w:rStyle w:val="FootnoteReference"/>
        </w:rPr>
        <w:footnoteRef/>
      </w:r>
      <w:r>
        <w:tab/>
      </w:r>
      <w:r w:rsidRPr="00ED1CCB">
        <w:rPr>
          <w:bCs/>
          <w:color w:val="444444"/>
          <w:szCs w:val="24"/>
        </w:rPr>
        <w:t xml:space="preserve">Cisco Visual Networking Index: Global </w:t>
      </w:r>
      <w:smartTag w:uri="urn:schemas-microsoft-com:office:smarttags" w:element="place">
        <w:r w:rsidRPr="00ED1CCB">
          <w:rPr>
            <w:bCs/>
            <w:color w:val="444444"/>
            <w:szCs w:val="24"/>
          </w:rPr>
          <w:t>Mobile</w:t>
        </w:r>
      </w:smartTag>
      <w:r w:rsidRPr="00ED1CCB">
        <w:rPr>
          <w:bCs/>
          <w:color w:val="444444"/>
          <w:szCs w:val="24"/>
        </w:rPr>
        <w:t xml:space="preserve"> Data Traffic Forecast Update, 2011</w:t>
      </w:r>
      <w:r w:rsidRPr="00ED1CCB">
        <w:rPr>
          <w:bCs/>
          <w:color w:val="444444"/>
          <w:szCs w:val="24"/>
        </w:rPr>
        <w:noBreakHyphen/>
        <w:t>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BAE"/>
    <w:multiLevelType w:val="hybridMultilevel"/>
    <w:tmpl w:val="C2ACB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E18A2"/>
    <w:multiLevelType w:val="hybridMultilevel"/>
    <w:tmpl w:val="0428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66DF7"/>
    <w:multiLevelType w:val="hybridMultilevel"/>
    <w:tmpl w:val="D9F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GB" w:vendorID="64" w:dllVersion="131078" w:nlCheck="1" w:checkStyle="1"/>
  <w:stylePaneFormatFilter w:val="3F01"/>
  <w:defaultTabStop w:val="360"/>
  <w:characterSpacingControl w:val="doNotCompress"/>
  <w:footnotePr>
    <w:footnote w:id="0"/>
    <w:footnote w:id="1"/>
  </w:footnotePr>
  <w:endnotePr>
    <w:endnote w:id="0"/>
    <w:endnote w:id="1"/>
  </w:endnotePr>
  <w:compat/>
  <w:rsids>
    <w:rsidRoot w:val="00FC1CD1"/>
    <w:rsid w:val="000D092C"/>
    <w:rsid w:val="000E2E95"/>
    <w:rsid w:val="000E5460"/>
    <w:rsid w:val="0010189D"/>
    <w:rsid w:val="0010269A"/>
    <w:rsid w:val="001272B3"/>
    <w:rsid w:val="00185B23"/>
    <w:rsid w:val="001A4DA1"/>
    <w:rsid w:val="001C0C9B"/>
    <w:rsid w:val="001C6554"/>
    <w:rsid w:val="001C6B29"/>
    <w:rsid w:val="001E1A2F"/>
    <w:rsid w:val="00206CEF"/>
    <w:rsid w:val="0025112E"/>
    <w:rsid w:val="002567BA"/>
    <w:rsid w:val="002A4934"/>
    <w:rsid w:val="002B42C4"/>
    <w:rsid w:val="002E742E"/>
    <w:rsid w:val="00365AE1"/>
    <w:rsid w:val="00385C04"/>
    <w:rsid w:val="003E2D59"/>
    <w:rsid w:val="00436AE7"/>
    <w:rsid w:val="0045258E"/>
    <w:rsid w:val="00491452"/>
    <w:rsid w:val="004945B7"/>
    <w:rsid w:val="004A2BC3"/>
    <w:rsid w:val="004D2B9D"/>
    <w:rsid w:val="00515D8A"/>
    <w:rsid w:val="00517155"/>
    <w:rsid w:val="005235A8"/>
    <w:rsid w:val="00557451"/>
    <w:rsid w:val="00571CBA"/>
    <w:rsid w:val="00586EFA"/>
    <w:rsid w:val="005931CF"/>
    <w:rsid w:val="005A2F89"/>
    <w:rsid w:val="005B2815"/>
    <w:rsid w:val="005E3BC1"/>
    <w:rsid w:val="005E450A"/>
    <w:rsid w:val="00603CB9"/>
    <w:rsid w:val="0062606F"/>
    <w:rsid w:val="00641310"/>
    <w:rsid w:val="006C72F5"/>
    <w:rsid w:val="006D75D5"/>
    <w:rsid w:val="00716DB1"/>
    <w:rsid w:val="0072107B"/>
    <w:rsid w:val="0072436A"/>
    <w:rsid w:val="00727A39"/>
    <w:rsid w:val="00734E00"/>
    <w:rsid w:val="00745E0C"/>
    <w:rsid w:val="007928CD"/>
    <w:rsid w:val="008241F3"/>
    <w:rsid w:val="00826FCD"/>
    <w:rsid w:val="0087070A"/>
    <w:rsid w:val="00870EE3"/>
    <w:rsid w:val="00875DA6"/>
    <w:rsid w:val="00895AD4"/>
    <w:rsid w:val="008E700E"/>
    <w:rsid w:val="00917DD5"/>
    <w:rsid w:val="00964D68"/>
    <w:rsid w:val="0097690E"/>
    <w:rsid w:val="00977548"/>
    <w:rsid w:val="009A5E5D"/>
    <w:rsid w:val="009B4C89"/>
    <w:rsid w:val="009E7AE3"/>
    <w:rsid w:val="00A26FE1"/>
    <w:rsid w:val="00A325C4"/>
    <w:rsid w:val="00A65FE6"/>
    <w:rsid w:val="00A673C0"/>
    <w:rsid w:val="00AA1A18"/>
    <w:rsid w:val="00AA332E"/>
    <w:rsid w:val="00AC63ED"/>
    <w:rsid w:val="00B02D3D"/>
    <w:rsid w:val="00B14640"/>
    <w:rsid w:val="00B86801"/>
    <w:rsid w:val="00BB4704"/>
    <w:rsid w:val="00C21873"/>
    <w:rsid w:val="00CB7307"/>
    <w:rsid w:val="00CC522E"/>
    <w:rsid w:val="00CD4223"/>
    <w:rsid w:val="00D14D48"/>
    <w:rsid w:val="00D17C69"/>
    <w:rsid w:val="00D5676F"/>
    <w:rsid w:val="00DA6565"/>
    <w:rsid w:val="00DB2EC3"/>
    <w:rsid w:val="00DC6DEC"/>
    <w:rsid w:val="00E03630"/>
    <w:rsid w:val="00E03955"/>
    <w:rsid w:val="00E41D07"/>
    <w:rsid w:val="00E4353A"/>
    <w:rsid w:val="00EB0FAC"/>
    <w:rsid w:val="00EB4BE0"/>
    <w:rsid w:val="00ED6B0E"/>
    <w:rsid w:val="00EE324B"/>
    <w:rsid w:val="00EE563E"/>
    <w:rsid w:val="00EF44D3"/>
    <w:rsid w:val="00F071DD"/>
    <w:rsid w:val="00F11F4E"/>
    <w:rsid w:val="00F17A30"/>
    <w:rsid w:val="00F30094"/>
    <w:rsid w:val="00F31072"/>
    <w:rsid w:val="00F42B17"/>
    <w:rsid w:val="00F52765"/>
    <w:rsid w:val="00F742B2"/>
    <w:rsid w:val="00F8651D"/>
    <w:rsid w:val="00F969F5"/>
    <w:rsid w:val="00FA1155"/>
    <w:rsid w:val="00FB687F"/>
    <w:rsid w:val="00FC1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DB1"/>
    <w:rPr>
      <w:sz w:val="24"/>
      <w:szCs w:val="24"/>
    </w:rPr>
  </w:style>
  <w:style w:type="paragraph" w:styleId="Heading1">
    <w:name w:val="heading 1"/>
    <w:basedOn w:val="Normal"/>
    <w:next w:val="Normal"/>
    <w:link w:val="Heading1Char"/>
    <w:qFormat/>
    <w:rsid w:val="00826FCD"/>
    <w:pPr>
      <w:keepNext/>
      <w:tabs>
        <w:tab w:val="left" w:pos="360"/>
        <w:tab w:val="left" w:pos="900"/>
      </w:tabs>
      <w:outlineLvl w:val="0"/>
    </w:pPr>
    <w:rPr>
      <w:b/>
      <w:bCs/>
      <w:szCs w:val="20"/>
      <w:u w:val="single"/>
    </w:rPr>
  </w:style>
  <w:style w:type="paragraph" w:styleId="Heading4">
    <w:name w:val="heading 4"/>
    <w:basedOn w:val="Normal"/>
    <w:next w:val="Normal"/>
    <w:qFormat/>
    <w:rsid w:val="00826FCD"/>
    <w:pPr>
      <w:keepNext/>
      <w:tabs>
        <w:tab w:val="left" w:pos="360"/>
        <w:tab w:val="left" w:pos="900"/>
      </w:tabs>
      <w:outlineLvl w:val="3"/>
    </w:pPr>
    <w:rPr>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353A"/>
    <w:pPr>
      <w:widowControl w:val="0"/>
      <w:tabs>
        <w:tab w:val="left" w:pos="1440"/>
      </w:tabs>
      <w:spacing w:after="220"/>
      <w:ind w:firstLine="720"/>
      <w:jc w:val="both"/>
    </w:pPr>
    <w:rPr>
      <w:sz w:val="22"/>
      <w:szCs w:val="20"/>
    </w:rPr>
  </w:style>
  <w:style w:type="paragraph" w:styleId="BodyText">
    <w:name w:val="Body Text"/>
    <w:basedOn w:val="Normal"/>
    <w:rsid w:val="00826FCD"/>
    <w:pPr>
      <w:tabs>
        <w:tab w:val="left" w:pos="360"/>
        <w:tab w:val="left" w:pos="900"/>
      </w:tabs>
    </w:pPr>
    <w:rPr>
      <w:i/>
      <w:iCs/>
      <w:szCs w:val="20"/>
    </w:rPr>
  </w:style>
  <w:style w:type="paragraph" w:styleId="PlainText">
    <w:name w:val="Plain Text"/>
    <w:basedOn w:val="Normal"/>
    <w:link w:val="PlainTextChar"/>
    <w:uiPriority w:val="99"/>
    <w:rsid w:val="00826FCD"/>
    <w:rPr>
      <w:rFonts w:ascii="Courier New" w:hAnsi="Courier New" w:cs="Courier New"/>
      <w:sz w:val="20"/>
      <w:szCs w:val="20"/>
    </w:rPr>
  </w:style>
  <w:style w:type="character" w:styleId="Hyperlink">
    <w:name w:val="Hyperlink"/>
    <w:basedOn w:val="DefaultParagraphFont"/>
    <w:rsid w:val="00826FCD"/>
    <w:rPr>
      <w:color w:val="0000FF"/>
      <w:u w:val="single"/>
    </w:rPr>
  </w:style>
  <w:style w:type="paragraph" w:customStyle="1" w:styleId="Default">
    <w:name w:val="Default"/>
    <w:rsid w:val="00F52765"/>
    <w:pPr>
      <w:autoSpaceDE w:val="0"/>
      <w:autoSpaceDN w:val="0"/>
      <w:adjustRightInd w:val="0"/>
    </w:pPr>
    <w:rPr>
      <w:color w:val="000000"/>
      <w:sz w:val="24"/>
      <w:szCs w:val="24"/>
    </w:rPr>
  </w:style>
  <w:style w:type="table" w:styleId="TableGrid">
    <w:name w:val="Table Grid"/>
    <w:basedOn w:val="TableNormal"/>
    <w:rsid w:val="00F52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16DB1"/>
    <w:pPr>
      <w:ind w:left="720"/>
    </w:pPr>
  </w:style>
  <w:style w:type="character" w:customStyle="1" w:styleId="PlainTextChar">
    <w:name w:val="Plain Text Char"/>
    <w:basedOn w:val="DefaultParagraphFont"/>
    <w:link w:val="PlainText"/>
    <w:uiPriority w:val="99"/>
    <w:rsid w:val="009A5E5D"/>
    <w:rPr>
      <w:rFonts w:ascii="Courier New" w:hAnsi="Courier New" w:cs="Courier New"/>
    </w:rPr>
  </w:style>
  <w:style w:type="paragraph" w:customStyle="1" w:styleId="enumlev1">
    <w:name w:val="enumlev1"/>
    <w:basedOn w:val="Normal"/>
    <w:link w:val="enumlev1Char"/>
    <w:rsid w:val="009A5E5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rsid w:val="009A5E5D"/>
    <w:rPr>
      <w:sz w:val="24"/>
      <w:lang w:val="en-GB"/>
    </w:rPr>
  </w:style>
  <w:style w:type="character" w:customStyle="1" w:styleId="Heading1Char">
    <w:name w:val="Heading 1 Char"/>
    <w:basedOn w:val="DefaultParagraphFont"/>
    <w:link w:val="Heading1"/>
    <w:rsid w:val="009A5E5D"/>
    <w:rPr>
      <w:b/>
      <w:bCs/>
      <w:sz w:val="24"/>
      <w:u w:val="single"/>
    </w:rPr>
  </w:style>
  <w:style w:type="character" w:styleId="FootnoteReference">
    <w:name w:val="footnote reference"/>
    <w:aliases w:val="Style 12,(NECG) Footnote Reference,Style 13,Appel note de bas de p,Style 124,fr,o,Style 3,FR,Footnote Reference/,Footnote symbol,Style 17,Appel note de bas de p + 11 pt,Italic,Footnote,Appel note de bas de p1,Appel note de bas de p2"/>
    <w:rsid w:val="00BB4704"/>
    <w:rPr>
      <w:rFonts w:cs="Times New Roman"/>
      <w:position w:val="6"/>
      <w:sz w:val="18"/>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1"/>
    <w:rsid w:val="00BB4704"/>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basedOn w:val="DefaultParagraphFont"/>
    <w:link w:val="FootnoteText"/>
    <w:rsid w:val="00BB4704"/>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
    <w:link w:val="FootnoteText"/>
    <w:locked/>
    <w:rsid w:val="00BB4704"/>
    <w:rPr>
      <w:sz w:val="24"/>
      <w:lang w:val="en-GB"/>
    </w:rPr>
  </w:style>
  <w:style w:type="character" w:customStyle="1" w:styleId="ccmtdefault">
    <w:name w:val="ccmtdefault"/>
    <w:rsid w:val="00BB4704"/>
  </w:style>
  <w:style w:type="paragraph" w:customStyle="1" w:styleId="Normalaftertitle">
    <w:name w:val="Normal after title"/>
    <w:basedOn w:val="Normal"/>
    <w:next w:val="Normal"/>
    <w:link w:val="NormalaftertitleChar"/>
    <w:rsid w:val="001E1A2F"/>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aftertitleChar">
    <w:name w:val="Normal after title Char"/>
    <w:basedOn w:val="DefaultParagraphFont"/>
    <w:link w:val="Normalaftertitle"/>
    <w:locked/>
    <w:rsid w:val="001E1A2F"/>
    <w:rPr>
      <w:sz w:val="24"/>
      <w:lang w:val="en-GB"/>
    </w:rPr>
  </w:style>
  <w:style w:type="paragraph" w:customStyle="1" w:styleId="Appendixtitle">
    <w:name w:val="Appendix_title"/>
    <w:basedOn w:val="Normal"/>
    <w:next w:val="Normal"/>
    <w:rsid w:val="003E2D5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cs="Times New Roman Bold"/>
      <w:b/>
      <w:bCs/>
      <w:sz w:val="28"/>
      <w:szCs w:val="28"/>
      <w:lang w:val="en-GB"/>
    </w:rPr>
  </w:style>
</w:styles>
</file>

<file path=word/webSettings.xml><?xml version="1.0" encoding="utf-8"?>
<w:webSettings xmlns:r="http://schemas.openxmlformats.org/officeDocument/2006/relationships" xmlns:w="http://schemas.openxmlformats.org/wordprocessingml/2006/main">
  <w:divs>
    <w:div w:id="59602978">
      <w:bodyDiv w:val="1"/>
      <w:marLeft w:val="0"/>
      <w:marRight w:val="0"/>
      <w:marTop w:val="0"/>
      <w:marBottom w:val="0"/>
      <w:divBdr>
        <w:top w:val="none" w:sz="0" w:space="0" w:color="auto"/>
        <w:left w:val="none" w:sz="0" w:space="0" w:color="auto"/>
        <w:bottom w:val="none" w:sz="0" w:space="0" w:color="auto"/>
        <w:right w:val="none" w:sz="0" w:space="0" w:color="auto"/>
      </w:divBdr>
    </w:div>
    <w:div w:id="8820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NTIA-OSM</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wmitchell</dc:creator>
  <cp:lastModifiedBy>ddrazenovich</cp:lastModifiedBy>
  <cp:revision>2</cp:revision>
  <cp:lastPrinted>2012-10-04T18:20:00Z</cp:lastPrinted>
  <dcterms:created xsi:type="dcterms:W3CDTF">2012-10-05T13:03:00Z</dcterms:created>
  <dcterms:modified xsi:type="dcterms:W3CDTF">2012-10-05T13:03:00Z</dcterms:modified>
</cp:coreProperties>
</file>