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A1FEF" w:rsidRPr="003B4306" w:rsidP="00015573">
      <w:pPr>
        <w:jc w:val="center"/>
        <w:rPr>
          <w:rFonts w:eastAsia="Malgun Gothic" w:hAnsi="Malgun Gothic"/>
          <w:b/>
          <w:sz w:val="22"/>
          <w:szCs w:val="22"/>
        </w:rPr>
      </w:pPr>
      <w:bookmarkStart w:id="0" w:name="_GoBack"/>
      <w:bookmarkEnd w:id="0"/>
    </w:p>
    <w:p w:rsidR="00F53B76" w:rsidRPr="003B4306" w:rsidP="00015573">
      <w:pPr>
        <w:jc w:val="center"/>
        <w:rPr>
          <w:rFonts w:eastAsia="Arial" w:hAnsi="Arial"/>
          <w:b/>
          <w:sz w:val="22"/>
          <w:szCs w:val="22"/>
        </w:rPr>
      </w:pPr>
      <w:r w:rsidRPr="003B4306">
        <w:rPr>
          <w:rFonts w:eastAsia="Malgun Gothic" w:hAnsi="Malgun Gothic"/>
          <w:b/>
          <w:sz w:val="22"/>
          <w:szCs w:val="22"/>
        </w:rPr>
        <w:t xml:space="preserve">STATEMENT OF </w:t>
      </w:r>
    </w:p>
    <w:p w:rsidR="00F53B76" w:rsidRPr="003B4306" w:rsidP="00015573">
      <w:pPr>
        <w:jc w:val="center"/>
        <w:rPr>
          <w:rFonts w:eastAsia="Malgun Gothic" w:hAnsi="Malgun Gothic"/>
          <w:b/>
          <w:sz w:val="22"/>
          <w:szCs w:val="22"/>
        </w:rPr>
      </w:pPr>
      <w:r w:rsidRPr="003B4306">
        <w:rPr>
          <w:rFonts w:eastAsia="Malgun Gothic" w:hAnsi="Malgun Gothic"/>
          <w:b/>
          <w:sz w:val="22"/>
          <w:szCs w:val="22"/>
        </w:rPr>
        <w:t>COMMISSIONER MIGNON L. CLYBURN</w:t>
      </w:r>
    </w:p>
    <w:p w:rsidR="00D73D93" w:rsidRPr="003B4306" w:rsidP="00015573">
      <w:pPr>
        <w:jc w:val="center"/>
        <w:rPr>
          <w:rFonts w:eastAsia="Arial" w:hAnsi="Arial"/>
          <w:b/>
          <w:sz w:val="22"/>
          <w:szCs w:val="22"/>
        </w:rPr>
      </w:pPr>
    </w:p>
    <w:p w:rsidR="003B4306" w:rsidRPr="003B4306" w:rsidP="003B4306">
      <w:pPr>
        <w:spacing w:after="120"/>
        <w:rPr>
          <w:i/>
          <w:iCs/>
          <w:sz w:val="22"/>
          <w:szCs w:val="22"/>
        </w:rPr>
      </w:pPr>
      <w:r w:rsidRPr="003B4306">
        <w:rPr>
          <w:iCs/>
          <w:sz w:val="22"/>
          <w:szCs w:val="22"/>
        </w:rPr>
        <w:t>Re:</w:t>
      </w:r>
      <w:r w:rsidRPr="003B4306">
        <w:rPr>
          <w:sz w:val="22"/>
          <w:szCs w:val="22"/>
        </w:rPr>
        <w:t xml:space="preserve"> </w:t>
      </w:r>
      <w:r w:rsidRPr="003B4306">
        <w:rPr>
          <w:sz w:val="22"/>
          <w:szCs w:val="22"/>
        </w:rPr>
        <w:tab/>
      </w:r>
      <w:r w:rsidRPr="003B4306">
        <w:rPr>
          <w:i/>
          <w:sz w:val="22"/>
          <w:szCs w:val="22"/>
        </w:rPr>
        <w:t>Location-Based Routing For Wireless 911 Calls</w:t>
      </w:r>
      <w:r w:rsidRPr="003B4306">
        <w:rPr>
          <w:iCs/>
          <w:sz w:val="22"/>
          <w:szCs w:val="22"/>
        </w:rPr>
        <w:t>, PS Docket No. 18-64.</w:t>
      </w:r>
    </w:p>
    <w:p w:rsidR="00F53B76" w:rsidRPr="003B4306" w:rsidP="003B4306">
      <w:pPr>
        <w:spacing w:after="120"/>
        <w:ind w:firstLine="720"/>
        <w:rPr>
          <w:rFonts w:eastAsia="Arial"/>
          <w:spacing w:val="-2"/>
          <w:sz w:val="22"/>
          <w:szCs w:val="22"/>
        </w:rPr>
      </w:pPr>
      <w:r w:rsidRPr="003B4306">
        <w:rPr>
          <w:rFonts w:eastAsia="Malgun Gothic"/>
          <w:spacing w:val="-2"/>
          <w:sz w:val="22"/>
          <w:szCs w:val="22"/>
        </w:rPr>
        <w:t>Any delay in 911 call response time can mean the difference between life and death</w:t>
      </w:r>
      <w:r w:rsidRPr="003B4306" w:rsidR="00C542A1">
        <w:rPr>
          <w:rFonts w:eastAsia="Malgun Gothic"/>
          <w:spacing w:val="-2"/>
          <w:sz w:val="22"/>
          <w:szCs w:val="22"/>
        </w:rPr>
        <w:t xml:space="preserve">. </w:t>
      </w:r>
      <w:r w:rsidRPr="003B4306" w:rsidR="00B50ECE">
        <w:rPr>
          <w:rFonts w:eastAsia="Malgun Gothic"/>
          <w:spacing w:val="-2"/>
          <w:sz w:val="22"/>
          <w:szCs w:val="22"/>
        </w:rPr>
        <w:t xml:space="preserve"> </w:t>
      </w:r>
      <w:r w:rsidRPr="003B4306" w:rsidR="001F2657">
        <w:rPr>
          <w:rFonts w:eastAsia="Malgun Gothic"/>
          <w:spacing w:val="-2"/>
          <w:sz w:val="22"/>
          <w:szCs w:val="22"/>
        </w:rPr>
        <w:t>When seeking the assistance of first responders</w:t>
      </w:r>
      <w:r w:rsidRPr="003B4306" w:rsidR="00C542A1">
        <w:rPr>
          <w:rFonts w:eastAsia="Malgun Gothic"/>
          <w:spacing w:val="-2"/>
          <w:sz w:val="22"/>
          <w:szCs w:val="22"/>
        </w:rPr>
        <w:t>,</w:t>
      </w:r>
      <w:r w:rsidRPr="003B4306">
        <w:rPr>
          <w:rFonts w:eastAsia="Malgun Gothic"/>
          <w:spacing w:val="-2"/>
          <w:sz w:val="22"/>
          <w:szCs w:val="22"/>
        </w:rPr>
        <w:t xml:space="preserve"> </w:t>
      </w:r>
      <w:r w:rsidRPr="003B4306" w:rsidR="001F2657">
        <w:rPr>
          <w:rFonts w:eastAsia="Malgun Gothic"/>
          <w:spacing w:val="-2"/>
          <w:sz w:val="22"/>
          <w:szCs w:val="22"/>
        </w:rPr>
        <w:t xml:space="preserve">no explanation </w:t>
      </w:r>
      <w:r w:rsidRPr="003B4306" w:rsidR="003E1652">
        <w:rPr>
          <w:rFonts w:eastAsia="Malgun Gothic"/>
          <w:spacing w:val="-2"/>
          <w:sz w:val="22"/>
          <w:szCs w:val="22"/>
        </w:rPr>
        <w:t xml:space="preserve">for delay </w:t>
      </w:r>
      <w:r w:rsidRPr="003B4306">
        <w:rPr>
          <w:rFonts w:eastAsia="Malgun Gothic"/>
          <w:spacing w:val="-2"/>
          <w:sz w:val="22"/>
          <w:szCs w:val="22"/>
        </w:rPr>
        <w:t>could ever bring comfort to a victim’s family or friends.</w:t>
      </w:r>
      <w:r w:rsidRPr="003B4306" w:rsidR="005B1223">
        <w:rPr>
          <w:rFonts w:eastAsia="Malgun Gothic"/>
          <w:spacing w:val="-2"/>
          <w:sz w:val="22"/>
          <w:szCs w:val="22"/>
        </w:rPr>
        <w:t xml:space="preserve"> </w:t>
      </w:r>
      <w:r w:rsidRPr="003B4306" w:rsidR="00015573">
        <w:rPr>
          <w:rFonts w:eastAsia="Malgun Gothic"/>
          <w:spacing w:val="-2"/>
          <w:sz w:val="22"/>
          <w:szCs w:val="22"/>
        </w:rPr>
        <w:t xml:space="preserve"> </w:t>
      </w:r>
      <w:r w:rsidRPr="003B4306" w:rsidR="003E1652">
        <w:rPr>
          <w:rFonts w:eastAsia="Malgun Gothic"/>
          <w:spacing w:val="-2"/>
          <w:sz w:val="22"/>
          <w:szCs w:val="22"/>
        </w:rPr>
        <w:t>T</w:t>
      </w:r>
      <w:r w:rsidRPr="003B4306">
        <w:rPr>
          <w:rFonts w:eastAsia="Malgun Gothic"/>
          <w:spacing w:val="-2"/>
          <w:sz w:val="22"/>
          <w:szCs w:val="22"/>
        </w:rPr>
        <w:t xml:space="preserve">here is little wonder why many ask, </w:t>
      </w:r>
      <w:r w:rsidRPr="003B4306" w:rsidR="00D522EB">
        <w:rPr>
          <w:rFonts w:eastAsia="Malgun Gothic"/>
          <w:spacing w:val="-2"/>
          <w:sz w:val="22"/>
          <w:szCs w:val="22"/>
        </w:rPr>
        <w:t>“</w:t>
      </w:r>
      <w:r w:rsidRPr="003B4306">
        <w:rPr>
          <w:rFonts w:eastAsia="Malgun Gothic"/>
          <w:spacing w:val="-2"/>
          <w:sz w:val="22"/>
          <w:szCs w:val="22"/>
        </w:rPr>
        <w:t>if Uber and Lyft can locate me within seconds, then why is it so difficult for police and other public safety officials?</w:t>
      </w:r>
      <w:r w:rsidRPr="003B4306" w:rsidR="00D522EB">
        <w:rPr>
          <w:rFonts w:eastAsia="Malgun Gothic"/>
          <w:spacing w:val="-2"/>
          <w:sz w:val="22"/>
          <w:szCs w:val="22"/>
        </w:rPr>
        <w:t>”</w:t>
      </w:r>
      <w:r w:rsidRPr="003B4306">
        <w:rPr>
          <w:rFonts w:eastAsia="Malgun Gothic"/>
          <w:spacing w:val="-2"/>
          <w:sz w:val="22"/>
          <w:szCs w:val="22"/>
        </w:rPr>
        <w:t xml:space="preserve">  Of the 80 percent of the 240 million </w:t>
      </w:r>
      <w:r w:rsidRPr="003B4306" w:rsidR="003E1652">
        <w:rPr>
          <w:rFonts w:eastAsia="Malgun Gothic"/>
          <w:spacing w:val="-2"/>
          <w:sz w:val="22"/>
          <w:szCs w:val="22"/>
        </w:rPr>
        <w:t xml:space="preserve">mobile phone </w:t>
      </w:r>
      <w:r w:rsidRPr="003B4306">
        <w:rPr>
          <w:rFonts w:eastAsia="Malgun Gothic"/>
          <w:spacing w:val="-2"/>
          <w:sz w:val="22"/>
          <w:szCs w:val="22"/>
        </w:rPr>
        <w:t xml:space="preserve">calls to 911 each year, it is estimated that as many as 10,000 lives could be saved each year, if the 911 emergency dispatching system were able to reach callers just one minute faster. </w:t>
      </w:r>
    </w:p>
    <w:p w:rsidR="00B50ECE" w:rsidRPr="003B4306" w:rsidP="003B4306">
      <w:pPr>
        <w:spacing w:after="120"/>
        <w:ind w:firstLine="720"/>
        <w:rPr>
          <w:rFonts w:eastAsia="Malgun Gothic"/>
          <w:spacing w:val="-2"/>
          <w:sz w:val="22"/>
          <w:szCs w:val="22"/>
        </w:rPr>
      </w:pPr>
      <w:r w:rsidRPr="003B4306">
        <w:rPr>
          <w:rFonts w:eastAsia="Malgun Gothic"/>
          <w:spacing w:val="-2"/>
          <w:sz w:val="22"/>
          <w:szCs w:val="22"/>
        </w:rPr>
        <w:t>One way to speed up response times</w:t>
      </w:r>
      <w:r w:rsidRPr="003B4306" w:rsidR="006A2E8C">
        <w:rPr>
          <w:rFonts w:eastAsia="Malgun Gothic"/>
          <w:spacing w:val="-2"/>
          <w:sz w:val="22"/>
          <w:szCs w:val="22"/>
        </w:rPr>
        <w:t>,</w:t>
      </w:r>
      <w:r w:rsidRPr="003B4306">
        <w:rPr>
          <w:rFonts w:eastAsia="Malgun Gothic"/>
          <w:spacing w:val="-2"/>
          <w:sz w:val="22"/>
          <w:szCs w:val="22"/>
        </w:rPr>
        <w:t xml:space="preserve"> is to integrate new location technologies into our emergency communications networks.  In order for location-based routing to b</w:t>
      </w:r>
      <w:r w:rsidRPr="003B4306" w:rsidR="00D73D93">
        <w:rPr>
          <w:rFonts w:eastAsia="Malgun Gothic"/>
          <w:spacing w:val="-2"/>
          <w:sz w:val="22"/>
          <w:szCs w:val="22"/>
        </w:rPr>
        <w:t>e effective in delivering the 911</w:t>
      </w:r>
      <w:r w:rsidRPr="003B4306">
        <w:rPr>
          <w:rFonts w:eastAsia="Malgun Gothic"/>
          <w:spacing w:val="-2"/>
          <w:sz w:val="22"/>
          <w:szCs w:val="22"/>
        </w:rPr>
        <w:t xml:space="preserve"> call to the appropriate PSAP</w:t>
      </w:r>
      <w:r w:rsidRPr="003B4306" w:rsidR="00D73D93">
        <w:rPr>
          <w:rFonts w:eastAsia="Malgun Gothic"/>
          <w:spacing w:val="-2"/>
          <w:sz w:val="22"/>
          <w:szCs w:val="22"/>
        </w:rPr>
        <w:t>, or Public Safety Answering Point</w:t>
      </w:r>
      <w:r w:rsidRPr="003B4306">
        <w:rPr>
          <w:rFonts w:eastAsia="Malgun Gothic"/>
          <w:spacing w:val="-2"/>
          <w:sz w:val="22"/>
          <w:szCs w:val="22"/>
        </w:rPr>
        <w:t>, the location needs to be calculated in five seconds or less</w:t>
      </w:r>
      <w:r w:rsidRPr="003B4306" w:rsidR="006A2E8C">
        <w:rPr>
          <w:rFonts w:eastAsia="Malgun Gothic"/>
          <w:spacing w:val="-2"/>
          <w:sz w:val="22"/>
          <w:szCs w:val="22"/>
        </w:rPr>
        <w:t>,</w:t>
      </w:r>
      <w:r w:rsidRPr="003B4306">
        <w:rPr>
          <w:rFonts w:eastAsia="Malgun Gothic"/>
          <w:spacing w:val="-2"/>
          <w:sz w:val="22"/>
          <w:szCs w:val="22"/>
        </w:rPr>
        <w:t xml:space="preserve"> with a fairly high degree of accuracy.  </w:t>
      </w:r>
    </w:p>
    <w:p w:rsidR="00F53B76" w:rsidRPr="003B4306" w:rsidP="003B4306">
      <w:pPr>
        <w:spacing w:after="120"/>
        <w:ind w:firstLine="720"/>
        <w:rPr>
          <w:rFonts w:eastAsia="Arial"/>
          <w:spacing w:val="-2"/>
          <w:sz w:val="22"/>
          <w:szCs w:val="22"/>
        </w:rPr>
      </w:pPr>
      <w:r w:rsidRPr="003B4306">
        <w:rPr>
          <w:rFonts w:eastAsia="Malgun Gothic"/>
          <w:spacing w:val="-2"/>
          <w:sz w:val="22"/>
          <w:szCs w:val="22"/>
        </w:rPr>
        <w:t>Legacy location technologies such as GPS</w:t>
      </w:r>
      <w:r w:rsidRPr="003B4306" w:rsidR="006A2E8C">
        <w:rPr>
          <w:rFonts w:eastAsia="Malgun Gothic"/>
          <w:spacing w:val="-2"/>
          <w:sz w:val="22"/>
          <w:szCs w:val="22"/>
        </w:rPr>
        <w:t>,</w:t>
      </w:r>
      <w:r w:rsidRPr="003B4306">
        <w:rPr>
          <w:rFonts w:eastAsia="Malgun Gothic"/>
          <w:spacing w:val="-2"/>
          <w:sz w:val="22"/>
          <w:szCs w:val="22"/>
        </w:rPr>
        <w:t xml:space="preserve"> are not capable of providing a location determination within five seconds.  Twenty to 30 seconds is more likely.  As a result, wireless 911 calls continue to be routed based on cell tower location, because the tower location is known immediately.  That means the call is more likely to be routed to the PSAP nearest the cell tower</w:t>
      </w:r>
      <w:r w:rsidRPr="003B4306" w:rsidR="006A2E8C">
        <w:rPr>
          <w:rFonts w:eastAsia="Malgun Gothic"/>
          <w:spacing w:val="-2"/>
          <w:sz w:val="22"/>
          <w:szCs w:val="22"/>
        </w:rPr>
        <w:t>,</w:t>
      </w:r>
      <w:r w:rsidRPr="003B4306">
        <w:rPr>
          <w:rFonts w:eastAsia="Malgun Gothic"/>
          <w:spacing w:val="-2"/>
          <w:sz w:val="22"/>
          <w:szCs w:val="22"/>
        </w:rPr>
        <w:t xml:space="preserve"> instead of the one nearest to the actual location of the emergency.</w:t>
      </w:r>
    </w:p>
    <w:p w:rsidR="00F53B76" w:rsidRPr="003B4306" w:rsidP="003B4306">
      <w:pPr>
        <w:spacing w:after="120"/>
        <w:ind w:firstLine="720"/>
        <w:rPr>
          <w:rFonts w:eastAsia="Arial"/>
          <w:spacing w:val="-2"/>
          <w:sz w:val="22"/>
          <w:szCs w:val="22"/>
        </w:rPr>
      </w:pPr>
      <w:r w:rsidRPr="003B4306">
        <w:rPr>
          <w:rFonts w:eastAsia="Malgun Gothic"/>
          <w:spacing w:val="-2"/>
          <w:sz w:val="22"/>
          <w:szCs w:val="22"/>
        </w:rPr>
        <w:t>Fortunately, a report that the Communications Security, Reliability, and Interoperability Council (CSRIC) issued in September 2016, found that new technologies may be able to provide more precise location data</w:t>
      </w:r>
      <w:r w:rsidRPr="003B4306" w:rsidR="006A2E8C">
        <w:rPr>
          <w:rFonts w:eastAsia="Malgun Gothic"/>
          <w:spacing w:val="-2"/>
          <w:sz w:val="22"/>
          <w:szCs w:val="22"/>
        </w:rPr>
        <w:t>,</w:t>
      </w:r>
      <w:r w:rsidRPr="003B4306">
        <w:rPr>
          <w:rFonts w:eastAsia="Malgun Gothic"/>
          <w:spacing w:val="-2"/>
          <w:sz w:val="22"/>
          <w:szCs w:val="22"/>
        </w:rPr>
        <w:t xml:space="preserve"> than the tower location within the necessary five-second window.  It is my hope that today’s Notice of Inquiry (NOI) will incentivize the public safety, commercial communications, and technology communities to work together and help us</w:t>
      </w:r>
      <w:r w:rsidRPr="003B4306" w:rsidR="006A2E8C">
        <w:rPr>
          <w:rFonts w:eastAsia="Malgun Gothic"/>
          <w:spacing w:val="-2"/>
          <w:sz w:val="22"/>
          <w:szCs w:val="22"/>
        </w:rPr>
        <w:t>,</w:t>
      </w:r>
      <w:r w:rsidRPr="003B4306">
        <w:rPr>
          <w:rFonts w:eastAsia="Malgun Gothic"/>
          <w:spacing w:val="-2"/>
          <w:sz w:val="22"/>
          <w:szCs w:val="22"/>
        </w:rPr>
        <w:t xml:space="preserve"> </w:t>
      </w:r>
      <w:r w:rsidRPr="003B4306" w:rsidR="001F2657">
        <w:rPr>
          <w:rFonts w:eastAsia="Malgun Gothic"/>
          <w:spacing w:val="-2"/>
          <w:sz w:val="22"/>
          <w:szCs w:val="22"/>
        </w:rPr>
        <w:t xml:space="preserve">to expeditiously </w:t>
      </w:r>
      <w:r w:rsidRPr="003B4306">
        <w:rPr>
          <w:rFonts w:eastAsia="Malgun Gothic"/>
          <w:spacing w:val="-2"/>
          <w:sz w:val="22"/>
          <w:szCs w:val="22"/>
        </w:rPr>
        <w:t xml:space="preserve">develop a solution.  Time is of the essence.  </w:t>
      </w:r>
    </w:p>
    <w:p w:rsidR="00F53B76" w:rsidRPr="003B4306" w:rsidP="003B4306">
      <w:pPr>
        <w:spacing w:after="120"/>
        <w:ind w:firstLine="720"/>
        <w:rPr>
          <w:rFonts w:eastAsia="Arial"/>
          <w:spacing w:val="-2"/>
          <w:sz w:val="22"/>
          <w:szCs w:val="22"/>
        </w:rPr>
      </w:pPr>
      <w:r w:rsidRPr="003B4306">
        <w:rPr>
          <w:rFonts w:eastAsia="Malgun Gothic"/>
          <w:spacing w:val="-2"/>
          <w:sz w:val="22"/>
          <w:szCs w:val="22"/>
        </w:rPr>
        <w:t>My thanks to the Public Safety &amp; Homeland Security Bureau</w:t>
      </w:r>
      <w:r w:rsidRPr="003B4306" w:rsidR="00D73D93">
        <w:rPr>
          <w:rFonts w:eastAsia="Malgun Gothic"/>
          <w:spacing w:val="-2"/>
          <w:sz w:val="22"/>
          <w:szCs w:val="22"/>
        </w:rPr>
        <w:t xml:space="preserve"> for this </w:t>
      </w:r>
      <w:r w:rsidRPr="003B4306">
        <w:rPr>
          <w:rFonts w:eastAsia="Malgun Gothic"/>
          <w:spacing w:val="-2"/>
          <w:sz w:val="22"/>
          <w:szCs w:val="22"/>
        </w:rPr>
        <w:t>truly important work.</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3B76">
    <w:pPr>
      <w:pStyle w:val="Footer"/>
      <w:jc w:val="center"/>
      <w:rPr>
        <w:sz w:val="22"/>
        <w:szCs w:val="22"/>
      </w:rPr>
    </w:pPr>
    <w:r>
      <w:fldChar w:fldCharType="begin"/>
    </w:r>
    <w:r>
      <w:instrText>PAGE  \* MERGEFORMAT</w:instrText>
    </w:r>
    <w:r>
      <w:fldChar w:fldCharType="separate"/>
    </w:r>
    <w:r w:rsidRPr="00156D0A" w:rsidR="00156D0A">
      <w:rPr>
        <w:noProof/>
        <w:sz w:val="22"/>
        <w:szCs w:val="22"/>
      </w:rPr>
      <w:t>1</w:t>
    </w:r>
    <w:r>
      <w:fldChar w:fldCharType="end"/>
    </w:r>
  </w:p>
  <w:p w:rsidR="00F53B76">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D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000000"/>
    <w:multiLevelType w:val="multilevel"/>
    <w:tmpl w:val="E2683446"/>
    <w:lvl w:ilvl="0">
      <w:start w:val="1"/>
      <w:numFmt w:val="decimal"/>
      <w:pStyle w:val="ParaNum"/>
      <w:lvlText w:val="%1."/>
      <w:lvlJc w:val="left"/>
      <w:pPr>
        <w:tabs>
          <w:tab w:val="left" w:pos="1260"/>
        </w:tabs>
        <w:ind w:left="180" w:firstLine="720"/>
      </w:pPr>
    </w:lvl>
    <w:lvl w:ilvl="1">
      <w:start w:val="1"/>
      <w:numFmt w:val="decimal"/>
      <w:lvlText w:val="%1."/>
      <w:lvlJc w:val="left"/>
      <w:pPr>
        <w:tabs>
          <w:tab w:val="left" w:pos="1260"/>
        </w:tabs>
        <w:ind w:left="180" w:firstLine="720"/>
      </w:pPr>
    </w:lvl>
    <w:lvl w:ilvl="2">
      <w:start w:val="1"/>
      <w:numFmt w:val="decimal"/>
      <w:lvlText w:val="%1."/>
      <w:lvlJc w:val="left"/>
      <w:pPr>
        <w:tabs>
          <w:tab w:val="left" w:pos="1260"/>
        </w:tabs>
        <w:ind w:left="180" w:firstLine="720"/>
      </w:pPr>
    </w:lvl>
    <w:lvl w:ilvl="3">
      <w:start w:val="1"/>
      <w:numFmt w:val="decimal"/>
      <w:lvlText w:val="%1."/>
      <w:lvlJc w:val="left"/>
      <w:pPr>
        <w:tabs>
          <w:tab w:val="left" w:pos="1260"/>
        </w:tabs>
        <w:ind w:left="180" w:firstLine="720"/>
      </w:pPr>
    </w:lvl>
    <w:lvl w:ilvl="4">
      <w:start w:val="1"/>
      <w:numFmt w:val="decimal"/>
      <w:lvlText w:val="%1."/>
      <w:lvlJc w:val="left"/>
      <w:pPr>
        <w:tabs>
          <w:tab w:val="left" w:pos="1260"/>
        </w:tabs>
        <w:ind w:left="180" w:firstLine="720"/>
      </w:pPr>
    </w:lvl>
    <w:lvl w:ilvl="5">
      <w:start w:val="1"/>
      <w:numFmt w:val="decimal"/>
      <w:lvlText w:val="%1."/>
      <w:lvlJc w:val="left"/>
      <w:pPr>
        <w:tabs>
          <w:tab w:val="left" w:pos="1260"/>
        </w:tabs>
        <w:ind w:left="180" w:firstLine="720"/>
      </w:pPr>
    </w:lvl>
    <w:lvl w:ilvl="6">
      <w:start w:val="1"/>
      <w:numFmt w:val="decimal"/>
      <w:lvlText w:val="%1."/>
      <w:lvlJc w:val="left"/>
      <w:pPr>
        <w:tabs>
          <w:tab w:val="left" w:pos="1260"/>
        </w:tabs>
        <w:ind w:left="180" w:firstLine="720"/>
      </w:pPr>
    </w:lvl>
    <w:lvl w:ilvl="7">
      <w:start w:val="1"/>
      <w:numFmt w:val="decimal"/>
      <w:lvlText w:val="%1."/>
      <w:lvlJc w:val="left"/>
      <w:pPr>
        <w:tabs>
          <w:tab w:val="left" w:pos="1260"/>
        </w:tabs>
        <w:ind w:left="180" w:firstLine="720"/>
      </w:pPr>
    </w:lvl>
    <w:lvl w:ilvl="8">
      <w:start w:val="1"/>
      <w:numFmt w:val="decimal"/>
      <w:lvlText w:val="%1."/>
      <w:lvlJc w:val="left"/>
      <w:pPr>
        <w:tabs>
          <w:tab w:val="left" w:pos="1260"/>
        </w:tabs>
        <w:ind w:left="180" w:firstLine="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76"/>
    <w:rsid w:val="00015573"/>
    <w:rsid w:val="00046596"/>
    <w:rsid w:val="000B4FD5"/>
    <w:rsid w:val="00156D0A"/>
    <w:rsid w:val="001F2657"/>
    <w:rsid w:val="003254EF"/>
    <w:rsid w:val="003B4306"/>
    <w:rsid w:val="003E1652"/>
    <w:rsid w:val="004A1FEF"/>
    <w:rsid w:val="005B1223"/>
    <w:rsid w:val="00617B62"/>
    <w:rsid w:val="006A2E8C"/>
    <w:rsid w:val="00746218"/>
    <w:rsid w:val="00A40F51"/>
    <w:rsid w:val="00B50ECE"/>
    <w:rsid w:val="00B94246"/>
    <w:rsid w:val="00C542A1"/>
    <w:rsid w:val="00D522EB"/>
    <w:rsid w:val="00D73D93"/>
    <w:rsid w:val="00F33968"/>
    <w:rsid w:val="00F53B76"/>
  </w:rsids>
  <m:mathPr>
    <m:mathFont m:val="Cambria Math"/>
    <m:smallFrac/>
    <m:lMargin m:val="1440"/>
    <m:rMargin m:val="1440"/>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pPr>
      <w:numPr>
        <w:numId w:val="1"/>
      </w:numPr>
      <w:ind w:left="0" w:firstLine="0"/>
    </w:pPr>
    <w:rPr>
      <w:rFonts w:ascii="Arial" w:hAnsi="Arial"/>
    </w:rPr>
  </w:style>
  <w:style w:type="paragraph" w:styleId="FootnoteText">
    <w:name w:val="footnote text"/>
    <w:link w:val="FootnoteTextChar"/>
    <w:rPr>
      <w:rFonts w:ascii="Times New Roman" w:eastAsia="Times New Roman" w:hAnsi="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w w:val="100"/>
      <w:sz w:val="20"/>
      <w:szCs w:val="20"/>
      <w:shd w:val="clear" w:color="auto" w:fill="auto"/>
    </w:rPr>
  </w:style>
  <w:style w:type="character" w:styleId="FootnoteReference">
    <w:name w:val="footnote reference"/>
    <w:rPr>
      <w:rFonts w:ascii="Times New Roman" w:eastAsia="Times New Roman" w:hAnsi="Times New Roman"/>
      <w:w w:val="100"/>
      <w:sz w:val="22"/>
      <w:szCs w:val="22"/>
      <w:shd w:val="clear" w:color="auto" w:fill="auto"/>
      <w:vertAlign w:val="superscript"/>
    </w:rPr>
  </w:style>
  <w:style w:type="character" w:styleId="Hyperlink">
    <w:name w:val="Hyperlink"/>
    <w:rPr>
      <w:color w:val="0000FF"/>
      <w:w w:val="100"/>
      <w:sz w:val="20"/>
      <w:szCs w:val="20"/>
      <w:u w:val="single"/>
      <w:shd w:val="clear" w:color="auto" w:fill="auto"/>
    </w:rPr>
  </w:style>
  <w:style w:type="character" w:customStyle="1" w:styleId="ParaNumChar">
    <w:name w:val="ParaNum Char"/>
    <w:link w:val="ParaNum"/>
    <w:rPr>
      <w:rFonts w:ascii="Times New Roman" w:eastAsia="Times New Roman" w:hAnsi="Times New Roman"/>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Times New Roman" w:eastAsia="Times New Roman" w:hAnsi="Times New Roman"/>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rFonts w:ascii="Times New Roman" w:eastAsia="Times New Roman" w:hAnsi="Times New Roman"/>
      <w:b/>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w w:val="100"/>
      <w:sz w:val="20"/>
      <w:szCs w:val="20"/>
      <w:shd w:val="clear" w:color="auto" w:fill="auto"/>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w w:val="1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_</vt:lpstr>
      <vt:lpstr>Title text</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2018-03-23T15:25:56Z</dcterms:created>
  <dcterms:modified xsi:type="dcterms:W3CDTF">2018-03-23T15:25:56Z</dcterms:modified>
</cp:coreProperties>
</file>